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2026B" w:rsidRPr="00D00BE6" w:rsidRDefault="00513E83" w:rsidP="00D2026B">
      <w:pPr>
        <w:spacing w:line="276" w:lineRule="auto"/>
        <w:jc w:val="center"/>
        <w:rPr>
          <w:rFonts w:asciiTheme="majorEastAsia" w:eastAsiaTheme="majorEastAsia" w:hAnsiTheme="majorEastAsia"/>
          <w:sz w:val="32"/>
          <w:szCs w:val="36"/>
        </w:rPr>
      </w:pPr>
      <w:bookmarkStart w:id="0" w:name="_GoBack"/>
      <w:bookmarkEnd w:id="0"/>
      <w:r w:rsidRPr="00D00BE6">
        <w:rPr>
          <w:rFonts w:asciiTheme="majorEastAsia" w:eastAsiaTheme="majorEastAsia" w:hAnsiTheme="majorEastAsia" w:hint="eastAsia"/>
          <w:sz w:val="32"/>
          <w:szCs w:val="36"/>
        </w:rPr>
        <w:t>農地中間管理機構の</w:t>
      </w:r>
      <w:r w:rsidR="00903F70" w:rsidRPr="00D00BE6">
        <w:rPr>
          <w:rFonts w:asciiTheme="majorEastAsia" w:eastAsiaTheme="majorEastAsia" w:hAnsiTheme="majorEastAsia" w:hint="eastAsia"/>
          <w:sz w:val="32"/>
          <w:szCs w:val="36"/>
        </w:rPr>
        <w:t>事業の</w:t>
      </w:r>
      <w:r w:rsidRPr="00D00BE6">
        <w:rPr>
          <w:rFonts w:asciiTheme="majorEastAsia" w:eastAsiaTheme="majorEastAsia" w:hAnsiTheme="majorEastAsia" w:hint="eastAsia"/>
          <w:sz w:val="32"/>
          <w:szCs w:val="36"/>
        </w:rPr>
        <w:t>特例について</w:t>
      </w:r>
    </w:p>
    <w:p w:rsidR="002744B6" w:rsidRPr="00737877" w:rsidRDefault="00513E83" w:rsidP="009A0CE3">
      <w:pPr>
        <w:wordWrap w:val="0"/>
        <w:spacing w:line="276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 w:rsidRPr="00737877">
        <w:rPr>
          <w:rFonts w:asciiTheme="minorEastAsia" w:eastAsiaTheme="minorEastAsia" w:hAnsiTheme="minorEastAsia" w:hint="eastAsia"/>
          <w:sz w:val="22"/>
          <w:szCs w:val="22"/>
        </w:rPr>
        <w:t>公益社団法人埼玉県農林公社</w:t>
      </w:r>
      <w:r w:rsidR="00D44FED" w:rsidRPr="0073787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0C541A" w:rsidRPr="00737877" w:rsidRDefault="00513E83" w:rsidP="00332AA5">
      <w:pPr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 w:rsidRPr="00737877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82322E" w:rsidRPr="00737877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Pr="00737877">
        <w:rPr>
          <w:rFonts w:asciiTheme="minorEastAsia" w:eastAsiaTheme="minorEastAsia" w:hAnsiTheme="minorEastAsia" w:cs="ＭＳ ゴシック" w:hint="eastAsia"/>
          <w:sz w:val="22"/>
          <w:szCs w:val="22"/>
        </w:rPr>
        <w:t>事業の概要</w:t>
      </w:r>
    </w:p>
    <w:p w:rsidR="000C541A" w:rsidRPr="00737877" w:rsidRDefault="00513E83" w:rsidP="00332AA5">
      <w:pPr>
        <w:ind w:leftChars="100" w:left="210" w:firstLineChars="100" w:firstLine="220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 w:rsidRPr="00737877">
        <w:rPr>
          <w:rFonts w:asciiTheme="minorEastAsia" w:eastAsiaTheme="minorEastAsia" w:hAnsiTheme="minorEastAsia" w:cs="ＭＳ ゴシック" w:hint="eastAsia"/>
          <w:sz w:val="22"/>
          <w:szCs w:val="22"/>
        </w:rPr>
        <w:t>農地中間管理機構が</w:t>
      </w:r>
      <w:r w:rsidR="00BF37ED" w:rsidRPr="00737877">
        <w:rPr>
          <w:rFonts w:asciiTheme="minorEastAsia" w:eastAsiaTheme="minorEastAsia" w:hAnsiTheme="minorEastAsia" w:cs="ＭＳ ゴシック" w:hint="eastAsia"/>
          <w:sz w:val="22"/>
          <w:szCs w:val="22"/>
        </w:rPr>
        <w:t>離農農家や規模縮小農家から</w:t>
      </w:r>
      <w:r w:rsidRPr="00737877">
        <w:rPr>
          <w:rFonts w:asciiTheme="minorEastAsia" w:eastAsiaTheme="minorEastAsia" w:hAnsiTheme="minorEastAsia" w:cs="ＭＳ ゴシック" w:hint="eastAsia"/>
          <w:sz w:val="22"/>
          <w:szCs w:val="22"/>
        </w:rPr>
        <w:t>農地を買い入れ、規模拡大を図る農業者に対して農地の売渡しを行う事業</w:t>
      </w:r>
      <w:r w:rsidR="0082322E" w:rsidRPr="00737877">
        <w:rPr>
          <w:rFonts w:asciiTheme="minorEastAsia" w:eastAsiaTheme="minorEastAsia" w:hAnsiTheme="minorEastAsia" w:cs="ＭＳ ゴシック" w:hint="eastAsia"/>
          <w:sz w:val="22"/>
          <w:szCs w:val="22"/>
        </w:rPr>
        <w:t>です。</w:t>
      </w:r>
      <w:r w:rsidRPr="00737877">
        <w:rPr>
          <w:rFonts w:asciiTheme="minorEastAsia" w:eastAsiaTheme="minorEastAsia" w:hAnsiTheme="minorEastAsia" w:cs="ＭＳ ゴシック" w:hint="eastAsia"/>
          <w:sz w:val="22"/>
          <w:szCs w:val="22"/>
        </w:rPr>
        <w:t>（農業経営基盤強化促進法第７条）</w:t>
      </w:r>
    </w:p>
    <w:p w:rsidR="000C541A" w:rsidRPr="00737877" w:rsidRDefault="000C541A" w:rsidP="006009B1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52ED5" w:rsidRPr="00737877" w:rsidRDefault="00513E83" w:rsidP="00332AA5">
      <w:pPr>
        <w:rPr>
          <w:rFonts w:asciiTheme="minorEastAsia" w:eastAsiaTheme="minorEastAsia" w:hAnsiTheme="minorEastAsia"/>
          <w:sz w:val="22"/>
          <w:szCs w:val="22"/>
        </w:rPr>
      </w:pPr>
      <w:r w:rsidRPr="00737877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BF6722" w:rsidRPr="0073787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737877">
        <w:rPr>
          <w:rFonts w:asciiTheme="minorEastAsia" w:eastAsiaTheme="minorEastAsia" w:hAnsiTheme="minorEastAsia" w:hint="eastAsia"/>
          <w:sz w:val="22"/>
          <w:szCs w:val="22"/>
        </w:rPr>
        <w:t>事業対象要件</w:t>
      </w:r>
    </w:p>
    <w:p w:rsidR="009A0CE3" w:rsidRPr="00737877" w:rsidRDefault="00513E83" w:rsidP="00903F7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37877">
        <w:rPr>
          <w:rFonts w:asciiTheme="minorEastAsia" w:eastAsiaTheme="minorEastAsia" w:hAnsiTheme="minorEastAsia" w:hint="eastAsia"/>
          <w:sz w:val="22"/>
          <w:szCs w:val="22"/>
        </w:rPr>
        <w:t>（１）</w:t>
      </w:r>
      <w:r w:rsidR="0058259C" w:rsidRPr="00737877">
        <w:rPr>
          <w:rFonts w:asciiTheme="minorEastAsia" w:eastAsiaTheme="minorEastAsia" w:hAnsiTheme="minorEastAsia" w:hint="eastAsia"/>
          <w:sz w:val="22"/>
          <w:szCs w:val="22"/>
        </w:rPr>
        <w:t>売買</w:t>
      </w:r>
      <w:r w:rsidRPr="00737877">
        <w:rPr>
          <w:rFonts w:asciiTheme="minorEastAsia" w:eastAsiaTheme="minorEastAsia" w:hAnsiTheme="minorEastAsia" w:hint="eastAsia"/>
          <w:sz w:val="22"/>
          <w:szCs w:val="22"/>
        </w:rPr>
        <w:t>予定農地</w:t>
      </w:r>
      <w:r w:rsidR="0058259C" w:rsidRPr="00737877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A11207" w:rsidRPr="00737877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B54924" w:rsidRPr="00737877">
        <w:rPr>
          <w:rFonts w:asciiTheme="minorEastAsia" w:eastAsiaTheme="minorEastAsia" w:hAnsiTheme="minorEastAsia" w:hint="eastAsia"/>
          <w:sz w:val="22"/>
          <w:szCs w:val="22"/>
        </w:rPr>
        <w:t>農業振興地域農用地区域</w:t>
      </w:r>
      <w:r w:rsidR="00A11207" w:rsidRPr="00737877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4E5E69" w:rsidRPr="00737877">
        <w:rPr>
          <w:rFonts w:asciiTheme="minorEastAsia" w:eastAsiaTheme="minorEastAsia" w:hAnsiTheme="minorEastAsia" w:hint="eastAsia"/>
          <w:sz w:val="22"/>
          <w:szCs w:val="22"/>
        </w:rPr>
        <w:t>又は</w:t>
      </w:r>
      <w:r w:rsidR="00A11207" w:rsidRPr="00737877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4210BD" w:rsidRPr="00737877">
        <w:rPr>
          <w:rFonts w:asciiTheme="minorEastAsia" w:eastAsiaTheme="minorEastAsia" w:hAnsiTheme="minorEastAsia" w:hint="eastAsia"/>
          <w:sz w:val="22"/>
          <w:szCs w:val="22"/>
        </w:rPr>
        <w:t>市街化区域外</w:t>
      </w:r>
      <w:r w:rsidR="00A11207" w:rsidRPr="00737877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152ED5" w:rsidRPr="00737877">
        <w:rPr>
          <w:rFonts w:asciiTheme="minorEastAsia" w:eastAsiaTheme="minorEastAsia" w:hAnsiTheme="minorEastAsia" w:hint="eastAsia"/>
          <w:sz w:val="22"/>
          <w:szCs w:val="22"/>
        </w:rPr>
        <w:t>にある</w:t>
      </w:r>
      <w:r w:rsidR="00714A1E" w:rsidRPr="00737877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3A1B1F" w:rsidRPr="00737877" w:rsidRDefault="00513E83" w:rsidP="00903F70">
      <w:pPr>
        <w:ind w:firstLineChars="500" w:firstLine="1000"/>
        <w:rPr>
          <w:rFonts w:asciiTheme="minorEastAsia" w:eastAsiaTheme="minorEastAsia" w:hAnsiTheme="minorEastAsia"/>
          <w:sz w:val="22"/>
          <w:szCs w:val="22"/>
        </w:rPr>
      </w:pPr>
      <w:r w:rsidRPr="00737877">
        <w:rPr>
          <w:rFonts w:asciiTheme="minorEastAsia" w:eastAsiaTheme="minorEastAsia" w:hAnsiTheme="minorEastAsia" w:hint="eastAsia"/>
          <w:sz w:val="20"/>
          <w:szCs w:val="22"/>
        </w:rPr>
        <w:t>原則、農業振興地域農用地区域</w:t>
      </w:r>
      <w:r w:rsidR="00722E36">
        <w:rPr>
          <w:rFonts w:asciiTheme="minorEastAsia" w:eastAsiaTheme="minorEastAsia" w:hAnsiTheme="minorEastAsia" w:hint="eastAsia"/>
          <w:sz w:val="20"/>
          <w:szCs w:val="22"/>
        </w:rPr>
        <w:t>の農地</w:t>
      </w:r>
      <w:r w:rsidRPr="00737877">
        <w:rPr>
          <w:rFonts w:asciiTheme="minorEastAsia" w:eastAsiaTheme="minorEastAsia" w:hAnsiTheme="minorEastAsia" w:hint="eastAsia"/>
          <w:sz w:val="20"/>
          <w:szCs w:val="22"/>
        </w:rPr>
        <w:t>のみの取り扱い</w:t>
      </w:r>
      <w:r w:rsidR="009A0CE3" w:rsidRPr="00737877">
        <w:rPr>
          <w:rFonts w:asciiTheme="minorEastAsia" w:eastAsiaTheme="minorEastAsia" w:hAnsiTheme="minorEastAsia" w:hint="eastAsia"/>
          <w:sz w:val="20"/>
          <w:szCs w:val="22"/>
        </w:rPr>
        <w:t>。</w:t>
      </w:r>
    </w:p>
    <w:p w:rsidR="00EE1BA5" w:rsidRPr="00737877" w:rsidRDefault="00513E83" w:rsidP="00903F7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37877">
        <w:rPr>
          <w:rFonts w:asciiTheme="minorEastAsia" w:eastAsiaTheme="minorEastAsia" w:hAnsiTheme="minorEastAsia" w:hint="eastAsia"/>
          <w:sz w:val="22"/>
          <w:szCs w:val="22"/>
        </w:rPr>
        <w:t>（２）</w:t>
      </w:r>
      <w:r w:rsidR="00D92BC8" w:rsidRPr="00737877">
        <w:rPr>
          <w:rFonts w:asciiTheme="minorEastAsia" w:eastAsiaTheme="minorEastAsia" w:hAnsiTheme="minorEastAsia" w:hint="eastAsia"/>
          <w:sz w:val="22"/>
          <w:szCs w:val="22"/>
        </w:rPr>
        <w:t>買う方</w:t>
      </w:r>
      <w:r w:rsidR="001C5C4C" w:rsidRPr="00737877">
        <w:rPr>
          <w:rFonts w:asciiTheme="minorEastAsia" w:eastAsiaTheme="minorEastAsia" w:hAnsiTheme="minorEastAsia" w:hint="eastAsia"/>
          <w:sz w:val="22"/>
          <w:szCs w:val="22"/>
        </w:rPr>
        <w:t>の経営</w:t>
      </w:r>
      <w:r w:rsidR="00BF37ED" w:rsidRPr="00737877">
        <w:rPr>
          <w:rFonts w:asciiTheme="minorEastAsia" w:eastAsiaTheme="minorEastAsia" w:hAnsiTheme="minorEastAsia" w:hint="eastAsia"/>
          <w:sz w:val="22"/>
          <w:szCs w:val="22"/>
        </w:rPr>
        <w:t>地と今回の売買対象地</w:t>
      </w:r>
      <w:r w:rsidR="005816CF" w:rsidRPr="00737877">
        <w:rPr>
          <w:rFonts w:asciiTheme="minorEastAsia" w:eastAsiaTheme="minorEastAsia" w:hAnsiTheme="minorEastAsia" w:hint="eastAsia"/>
          <w:sz w:val="22"/>
          <w:szCs w:val="22"/>
        </w:rPr>
        <w:t>の面積の合計が</w:t>
      </w:r>
      <w:r w:rsidR="003A1B1F" w:rsidRPr="0073787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6009B1" w:rsidRPr="006009B1">
        <w:rPr>
          <w:rFonts w:asciiTheme="minorEastAsia" w:eastAsiaTheme="minorEastAsia" w:hAnsiTheme="minorEastAsia" w:hint="eastAsia"/>
          <w:sz w:val="22"/>
          <w:szCs w:val="22"/>
          <w:u w:val="single"/>
        </w:rPr>
        <w:t>坂戸市では</w:t>
      </w:r>
      <w:r w:rsidR="003A1B1F" w:rsidRPr="006009B1">
        <w:rPr>
          <w:rFonts w:asciiTheme="minorEastAsia" w:eastAsiaTheme="minorEastAsia" w:hAnsiTheme="minorEastAsia" w:hint="eastAsia"/>
          <w:sz w:val="22"/>
          <w:szCs w:val="22"/>
          <w:u w:val="single"/>
        </w:rPr>
        <w:t>概</w:t>
      </w:r>
      <w:r w:rsidR="003A1B1F" w:rsidRPr="00737877">
        <w:rPr>
          <w:rFonts w:asciiTheme="minorEastAsia" w:eastAsiaTheme="minorEastAsia" w:hAnsiTheme="minorEastAsia" w:hint="eastAsia"/>
          <w:sz w:val="22"/>
          <w:szCs w:val="22"/>
          <w:u w:val="single"/>
        </w:rPr>
        <w:t>ね</w:t>
      </w:r>
      <w:r w:rsidR="003B6480">
        <w:rPr>
          <w:rFonts w:asciiTheme="minorEastAsia" w:eastAsiaTheme="minorEastAsia" w:hAnsiTheme="minorEastAsia" w:hint="eastAsia"/>
          <w:sz w:val="22"/>
          <w:szCs w:val="22"/>
          <w:u w:val="single"/>
        </w:rPr>
        <w:t>９０</w:t>
      </w:r>
      <w:r w:rsidR="00BF37ED" w:rsidRPr="00737877">
        <w:rPr>
          <w:rFonts w:asciiTheme="minorEastAsia" w:eastAsiaTheme="minorEastAsia" w:hAnsiTheme="minorEastAsia" w:hint="eastAsia"/>
          <w:sz w:val="22"/>
          <w:szCs w:val="22"/>
          <w:u w:val="single"/>
        </w:rPr>
        <w:t>ａ</w:t>
      </w:r>
      <w:r w:rsidR="00BF37ED" w:rsidRPr="00737877">
        <w:rPr>
          <w:rFonts w:asciiTheme="minorEastAsia" w:eastAsiaTheme="minorEastAsia" w:hAnsiTheme="minorEastAsia" w:hint="eastAsia"/>
          <w:sz w:val="22"/>
          <w:szCs w:val="22"/>
        </w:rPr>
        <w:t>を超える</w:t>
      </w:r>
      <w:r w:rsidR="00714A1E" w:rsidRPr="00737877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EE1BA5" w:rsidRPr="00737877" w:rsidRDefault="00513E83" w:rsidP="00903F7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37877">
        <w:rPr>
          <w:rFonts w:asciiTheme="minorEastAsia" w:eastAsiaTheme="minorEastAsia" w:hAnsiTheme="minorEastAsia" w:hint="eastAsia"/>
          <w:sz w:val="22"/>
          <w:szCs w:val="22"/>
        </w:rPr>
        <w:t>（３）</w:t>
      </w:r>
      <w:r w:rsidR="00D92BC8" w:rsidRPr="00737877">
        <w:rPr>
          <w:rFonts w:asciiTheme="minorEastAsia" w:eastAsiaTheme="minorEastAsia" w:hAnsiTheme="minorEastAsia" w:hint="eastAsia"/>
          <w:sz w:val="22"/>
          <w:szCs w:val="22"/>
        </w:rPr>
        <w:t>買う方</w:t>
      </w:r>
      <w:r w:rsidR="00152ED5" w:rsidRPr="00737877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Pr="00737877">
        <w:rPr>
          <w:rFonts w:asciiTheme="minorEastAsia" w:eastAsiaTheme="minorEastAsia" w:hAnsiTheme="minorEastAsia" w:hint="eastAsia"/>
          <w:sz w:val="22"/>
          <w:szCs w:val="22"/>
        </w:rPr>
        <w:t>農地法の違反がない</w:t>
      </w:r>
      <w:r w:rsidR="00337083" w:rsidRPr="00737877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9F3686" w:rsidRPr="00737877">
        <w:rPr>
          <w:rFonts w:asciiTheme="minorEastAsia" w:eastAsiaTheme="minorEastAsia" w:hAnsiTheme="minorEastAsia" w:hint="eastAsia"/>
          <w:sz w:val="22"/>
          <w:szCs w:val="22"/>
        </w:rPr>
        <w:t>買う方の貸付地が正しく利用されている。</w:t>
      </w:r>
    </w:p>
    <w:p w:rsidR="00BE173F" w:rsidRPr="00737877" w:rsidRDefault="00BE173F" w:rsidP="002744B6">
      <w:pPr>
        <w:rPr>
          <w:rFonts w:asciiTheme="minorEastAsia" w:eastAsiaTheme="minorEastAsia" w:hAnsiTheme="minorEastAsia"/>
          <w:sz w:val="22"/>
          <w:szCs w:val="22"/>
        </w:rPr>
      </w:pPr>
    </w:p>
    <w:p w:rsidR="00EE1BA5" w:rsidRPr="00737877" w:rsidRDefault="00513E83" w:rsidP="00332AA5">
      <w:pPr>
        <w:rPr>
          <w:rFonts w:asciiTheme="minorEastAsia" w:eastAsiaTheme="minorEastAsia" w:hAnsiTheme="minorEastAsia"/>
          <w:sz w:val="22"/>
          <w:szCs w:val="22"/>
        </w:rPr>
      </w:pPr>
      <w:r w:rsidRPr="00737877"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B40918" w:rsidRPr="00737877">
        <w:rPr>
          <w:rFonts w:asciiTheme="minorEastAsia" w:eastAsiaTheme="minorEastAsia" w:hAnsiTheme="minorEastAsia" w:hint="eastAsia"/>
          <w:sz w:val="22"/>
          <w:szCs w:val="22"/>
        </w:rPr>
        <w:t>農地を売る方・買う方のメリット</w:t>
      </w:r>
    </w:p>
    <w:p w:rsidR="00D44FED" w:rsidRPr="00737877" w:rsidRDefault="00513E83" w:rsidP="00332AA5">
      <w:pPr>
        <w:ind w:leftChars="100" w:left="210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737877">
        <w:rPr>
          <w:rFonts w:asciiTheme="minorEastAsia" w:eastAsiaTheme="minorEastAsia" w:hAnsiTheme="minorEastAsia" w:hint="eastAsia"/>
          <w:sz w:val="22"/>
          <w:szCs w:val="22"/>
        </w:rPr>
        <w:t>県、市町村等の出資により設立された公益法人である当公社</w:t>
      </w:r>
      <w:r w:rsidR="008004D6" w:rsidRPr="00737877">
        <w:rPr>
          <w:rFonts w:asciiTheme="minorEastAsia" w:eastAsiaTheme="minorEastAsia" w:hAnsiTheme="minorEastAsia" w:hint="eastAsia"/>
          <w:sz w:val="22"/>
          <w:szCs w:val="22"/>
        </w:rPr>
        <w:t>の専門の職員が</w:t>
      </w:r>
      <w:r w:rsidRPr="00737877">
        <w:rPr>
          <w:rFonts w:asciiTheme="minorEastAsia" w:eastAsiaTheme="minorEastAsia" w:hAnsiTheme="minorEastAsia" w:hint="eastAsia"/>
          <w:sz w:val="22"/>
          <w:szCs w:val="22"/>
        </w:rPr>
        <w:t>事務手続きを行うので安心です。また、官公庁への手続きや書類作成</w:t>
      </w:r>
      <w:r w:rsidR="002C7EF8" w:rsidRPr="00737877">
        <w:rPr>
          <w:rFonts w:asciiTheme="minorEastAsia" w:eastAsiaTheme="minorEastAsia" w:hAnsiTheme="minorEastAsia" w:hint="eastAsia"/>
          <w:sz w:val="22"/>
          <w:szCs w:val="22"/>
        </w:rPr>
        <w:t>を当公社が</w:t>
      </w:r>
      <w:r w:rsidRPr="00737877">
        <w:rPr>
          <w:rFonts w:asciiTheme="minorEastAsia" w:eastAsiaTheme="minorEastAsia" w:hAnsiTheme="minorEastAsia" w:hint="eastAsia"/>
          <w:sz w:val="22"/>
          <w:szCs w:val="22"/>
        </w:rPr>
        <w:t>行います</w:t>
      </w:r>
      <w:r w:rsidR="008004D6" w:rsidRPr="00737877">
        <w:rPr>
          <w:rFonts w:asciiTheme="minorEastAsia" w:eastAsiaTheme="minorEastAsia" w:hAnsiTheme="minorEastAsia" w:hint="eastAsia"/>
          <w:sz w:val="22"/>
          <w:szCs w:val="22"/>
        </w:rPr>
        <w:t>ので、売る方・買う方の手間が省けます。</w:t>
      </w:r>
    </w:p>
    <w:p w:rsidR="00B40918" w:rsidRPr="00737877" w:rsidRDefault="00513E83" w:rsidP="00332AA5">
      <w:pPr>
        <w:ind w:leftChars="100" w:left="210"/>
        <w:jc w:val="left"/>
        <w:rPr>
          <w:rFonts w:asciiTheme="minorEastAsia" w:eastAsiaTheme="minorEastAsia" w:hAnsiTheme="minorEastAsia"/>
          <w:sz w:val="22"/>
          <w:szCs w:val="22"/>
        </w:rPr>
      </w:pPr>
      <w:r w:rsidRPr="00737877">
        <w:rPr>
          <w:rFonts w:asciiTheme="minorEastAsia" w:eastAsiaTheme="minorEastAsia" w:hAnsiTheme="minorEastAsia" w:hint="eastAsia"/>
          <w:sz w:val="22"/>
          <w:szCs w:val="22"/>
        </w:rPr>
        <w:t>（１）</w:t>
      </w:r>
      <w:r w:rsidR="00D44FED" w:rsidRPr="00737877">
        <w:rPr>
          <w:rFonts w:asciiTheme="minorEastAsia" w:eastAsiaTheme="minorEastAsia" w:hAnsiTheme="minorEastAsia" w:hint="eastAsia"/>
          <w:sz w:val="22"/>
          <w:szCs w:val="22"/>
        </w:rPr>
        <w:t>売る方</w:t>
      </w:r>
    </w:p>
    <w:p w:rsidR="00EE1BA5" w:rsidRPr="00737877" w:rsidRDefault="00513E83" w:rsidP="00903F70">
      <w:pPr>
        <w:ind w:firstLineChars="300" w:firstLine="660"/>
        <w:jc w:val="left"/>
        <w:rPr>
          <w:rFonts w:asciiTheme="minorEastAsia" w:eastAsiaTheme="minorEastAsia" w:hAnsiTheme="minorEastAsia"/>
          <w:sz w:val="22"/>
          <w:szCs w:val="22"/>
        </w:rPr>
      </w:pPr>
      <w:r w:rsidRPr="00737877">
        <w:rPr>
          <w:rFonts w:asciiTheme="minorEastAsia" w:eastAsiaTheme="minorEastAsia" w:hAnsiTheme="minorEastAsia" w:hint="eastAsia"/>
          <w:sz w:val="22"/>
          <w:szCs w:val="22"/>
          <w:u w:val="single"/>
        </w:rPr>
        <w:t>譲渡所得税の特別控除（</w:t>
      </w:r>
      <w:r w:rsidR="00903F70" w:rsidRPr="00737877">
        <w:rPr>
          <w:rFonts w:asciiTheme="minorEastAsia" w:eastAsiaTheme="minorEastAsia" w:hAnsiTheme="minorEastAsia" w:hint="eastAsia"/>
          <w:sz w:val="22"/>
          <w:szCs w:val="22"/>
          <w:u w:val="single"/>
        </w:rPr>
        <w:t>800</w:t>
      </w:r>
      <w:r w:rsidRPr="00737877">
        <w:rPr>
          <w:rFonts w:asciiTheme="minorEastAsia" w:eastAsiaTheme="minorEastAsia" w:hAnsiTheme="minorEastAsia" w:hint="eastAsia"/>
          <w:sz w:val="22"/>
          <w:szCs w:val="22"/>
          <w:u w:val="single"/>
        </w:rPr>
        <w:t>万円まで）が受けら</w:t>
      </w:r>
      <w:r w:rsidR="00D23961" w:rsidRPr="00737877">
        <w:rPr>
          <w:rFonts w:asciiTheme="minorEastAsia" w:eastAsiaTheme="minorEastAsia" w:hAnsiTheme="minorEastAsia" w:hint="eastAsia"/>
          <w:sz w:val="22"/>
          <w:szCs w:val="22"/>
          <w:u w:val="single"/>
        </w:rPr>
        <w:t>れ</w:t>
      </w:r>
      <w:r w:rsidR="000E151E" w:rsidRPr="00737877">
        <w:rPr>
          <w:rFonts w:asciiTheme="minorEastAsia" w:eastAsiaTheme="minorEastAsia" w:hAnsiTheme="minorEastAsia" w:hint="eastAsia"/>
          <w:sz w:val="22"/>
          <w:szCs w:val="22"/>
          <w:u w:val="single"/>
        </w:rPr>
        <w:t>ます</w:t>
      </w:r>
      <w:r w:rsidRPr="00737877">
        <w:rPr>
          <w:rFonts w:asciiTheme="minorEastAsia" w:eastAsiaTheme="minorEastAsia" w:hAnsiTheme="minorEastAsia" w:hint="eastAsia"/>
          <w:sz w:val="22"/>
          <w:szCs w:val="22"/>
          <w:u w:val="single"/>
        </w:rPr>
        <w:t>。</w:t>
      </w:r>
      <w:r w:rsidR="00335C5D" w:rsidRPr="00737877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03F70" w:rsidRPr="006009B1">
        <w:rPr>
          <w:rFonts w:asciiTheme="minorEastAsia" w:eastAsiaTheme="minorEastAsia" w:hAnsiTheme="minorEastAsia" w:hint="eastAsia"/>
          <w:sz w:val="22"/>
          <w:szCs w:val="22"/>
          <w:highlight w:val="yellow"/>
        </w:rPr>
        <w:t>農業振興地域内農用地区域のみ</w:t>
      </w:r>
      <w:r w:rsidR="00335C5D" w:rsidRPr="00737877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10"/>
        <w:tblpPr w:leftFromText="142" w:rightFromText="142" w:vertAnchor="text" w:horzAnchor="page" w:tblpX="1367" w:tblpY="50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809"/>
        <w:gridCol w:w="4712"/>
        <w:gridCol w:w="1418"/>
        <w:gridCol w:w="1701"/>
      </w:tblGrid>
      <w:tr w:rsidR="00125122" w:rsidTr="00125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D31F1" w:rsidRPr="002735DD" w:rsidRDefault="00513E83" w:rsidP="002735D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2735DD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例　</w:t>
            </w:r>
            <w:r w:rsidR="00BF37ED" w:rsidRPr="002735DD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売主</w:t>
            </w:r>
            <w:r w:rsidRPr="002735DD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が手にする金額（契約金額</w:t>
            </w:r>
            <w:r w:rsidRPr="002735DD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100</w:t>
            </w:r>
            <w:r w:rsidRPr="002735DD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万円の場合）</w:t>
            </w:r>
          </w:p>
        </w:tc>
      </w:tr>
      <w:tr w:rsidR="00125122" w:rsidTr="00125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130BF6" w:rsidRPr="00E8504B" w:rsidRDefault="00513E83" w:rsidP="002735D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8504B">
              <w:rPr>
                <w:rFonts w:ascii="HG丸ｺﾞｼｯｸM-PRO" w:eastAsia="HG丸ｺﾞｼｯｸM-PRO" w:hAnsi="HG丸ｺﾞｼｯｸM-PRO" w:hint="eastAsia"/>
                <w:szCs w:val="21"/>
              </w:rPr>
              <w:t>相対での</w:t>
            </w:r>
          </w:p>
          <w:p w:rsidR="006D31F1" w:rsidRPr="00E8504B" w:rsidRDefault="00513E83" w:rsidP="002735D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8504B">
              <w:rPr>
                <w:rFonts w:ascii="HG丸ｺﾞｼｯｸM-PRO" w:eastAsia="HG丸ｺﾞｼｯｸM-PRO" w:hAnsi="HG丸ｺﾞｼｯｸM-PRO" w:hint="eastAsia"/>
                <w:szCs w:val="21"/>
              </w:rPr>
              <w:t>取引</w:t>
            </w:r>
          </w:p>
        </w:tc>
        <w:tc>
          <w:tcPr>
            <w:tcW w:w="4712" w:type="dxa"/>
            <w:tcBorders>
              <w:top w:val="none" w:sz="0" w:space="0" w:color="auto"/>
              <w:left w:val="single" w:sz="18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FC6B81" w:rsidRPr="002735DD" w:rsidRDefault="00513E83" w:rsidP="002735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Cs w:val="21"/>
              </w:rPr>
            </w:pPr>
            <w:r w:rsidRPr="002735DD">
              <w:rPr>
                <w:rFonts w:asciiTheme="minorEastAsia" w:eastAsiaTheme="minorEastAsia" w:hAnsiTheme="minorEastAsia" w:hint="eastAsia"/>
                <w:szCs w:val="21"/>
              </w:rPr>
              <w:t>お手元に残る額</w:t>
            </w:r>
          </w:p>
          <w:p w:rsidR="006D31F1" w:rsidRPr="002735DD" w:rsidRDefault="00513E83" w:rsidP="002735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Cs w:val="21"/>
              </w:rPr>
            </w:pPr>
            <w:r w:rsidRPr="002735DD">
              <w:rPr>
                <w:rFonts w:asciiTheme="minorEastAsia" w:eastAsiaTheme="minorEastAsia" w:hAnsiTheme="minorEastAsia" w:hint="eastAsia"/>
                <w:szCs w:val="21"/>
              </w:rPr>
              <w:t>81</w:t>
            </w:r>
            <w:r w:rsidRPr="002735DD">
              <w:rPr>
                <w:rFonts w:asciiTheme="minorEastAsia" w:eastAsiaTheme="minorEastAsia" w:hAnsiTheme="minorEastAsia" w:hint="eastAsia"/>
                <w:szCs w:val="21"/>
              </w:rPr>
              <w:t>万円</w:t>
            </w:r>
          </w:p>
        </w:tc>
        <w:tc>
          <w:tcPr>
            <w:tcW w:w="311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FF1CB"/>
          </w:tcPr>
          <w:p w:rsidR="006D31F1" w:rsidRPr="002735DD" w:rsidRDefault="00513E83" w:rsidP="002735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Cs w:val="21"/>
              </w:rPr>
            </w:pPr>
            <w:r w:rsidRPr="002735DD">
              <w:rPr>
                <w:rFonts w:asciiTheme="minorEastAsia" w:eastAsiaTheme="minorEastAsia" w:hAnsiTheme="minorEastAsia" w:hint="eastAsia"/>
                <w:szCs w:val="21"/>
              </w:rPr>
              <w:t>譲渡所得税</w:t>
            </w:r>
          </w:p>
          <w:p w:rsidR="006D31F1" w:rsidRPr="002735DD" w:rsidRDefault="00513E83" w:rsidP="002735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Cs w:val="21"/>
              </w:rPr>
            </w:pPr>
            <w:r w:rsidRPr="002735DD">
              <w:rPr>
                <w:rFonts w:asciiTheme="minorEastAsia" w:eastAsiaTheme="minorEastAsia" w:hAnsiTheme="minorEastAsia" w:hint="eastAsia"/>
                <w:szCs w:val="21"/>
              </w:rPr>
              <w:t>19</w:t>
            </w:r>
            <w:r w:rsidRPr="002735DD">
              <w:rPr>
                <w:rFonts w:asciiTheme="minorEastAsia" w:eastAsiaTheme="minorEastAsia" w:hAnsiTheme="minorEastAsia" w:hint="eastAsia"/>
                <w:szCs w:val="21"/>
              </w:rPr>
              <w:t>万円</w:t>
            </w:r>
          </w:p>
        </w:tc>
      </w:tr>
      <w:tr w:rsidR="00125122" w:rsidTr="001251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:rsidR="002735DD" w:rsidRPr="00E8504B" w:rsidRDefault="00513E83" w:rsidP="002735D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8504B">
              <w:rPr>
                <w:rFonts w:ascii="HG丸ｺﾞｼｯｸM-PRO" w:eastAsia="HG丸ｺﾞｼｯｸM-PRO" w:hAnsi="HG丸ｺﾞｼｯｸM-PRO" w:hint="eastAsia"/>
                <w:szCs w:val="21"/>
              </w:rPr>
              <w:t>公社を通しての</w:t>
            </w:r>
          </w:p>
          <w:p w:rsidR="002735DD" w:rsidRPr="00E8504B" w:rsidRDefault="00513E83" w:rsidP="002735D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8504B">
              <w:rPr>
                <w:rFonts w:ascii="HG丸ｺﾞｼｯｸM-PRO" w:eastAsia="HG丸ｺﾞｼｯｸM-PRO" w:hAnsi="HG丸ｺﾞｼｯｸM-PRO" w:hint="eastAsia"/>
                <w:szCs w:val="21"/>
              </w:rPr>
              <w:t>取引</w:t>
            </w:r>
          </w:p>
        </w:tc>
        <w:tc>
          <w:tcPr>
            <w:tcW w:w="6130" w:type="dxa"/>
            <w:gridSpan w:val="2"/>
            <w:tcBorders>
              <w:left w:val="single" w:sz="18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2735DD" w:rsidRPr="002735DD" w:rsidRDefault="00513E83" w:rsidP="002735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Cs w:val="21"/>
              </w:rPr>
            </w:pPr>
            <w:r w:rsidRPr="002735DD">
              <w:rPr>
                <w:rFonts w:asciiTheme="minorEastAsia" w:eastAsiaTheme="minorEastAsia" w:hAnsiTheme="minorEastAsia" w:hint="eastAsia"/>
                <w:szCs w:val="21"/>
              </w:rPr>
              <w:t>お手元に残る額</w:t>
            </w:r>
          </w:p>
          <w:p w:rsidR="002735DD" w:rsidRPr="002735DD" w:rsidRDefault="00513E83" w:rsidP="002735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Cs w:val="21"/>
              </w:rPr>
            </w:pPr>
            <w:r w:rsidRPr="002735DD">
              <w:rPr>
                <w:rFonts w:asciiTheme="minorEastAsia" w:eastAsiaTheme="minorEastAsia" w:hAnsiTheme="minorEastAsia" w:hint="eastAsia"/>
                <w:szCs w:val="21"/>
              </w:rPr>
              <w:t>95</w:t>
            </w:r>
            <w:r w:rsidRPr="002735DD">
              <w:rPr>
                <w:rFonts w:asciiTheme="minorEastAsia" w:eastAsiaTheme="minorEastAsia" w:hAnsiTheme="minorEastAsia" w:hint="eastAsia"/>
                <w:szCs w:val="21"/>
              </w:rPr>
              <w:t>万円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2735DD" w:rsidRPr="002735DD" w:rsidRDefault="00513E83" w:rsidP="002735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Cs w:val="21"/>
              </w:rPr>
            </w:pPr>
            <w:r w:rsidRPr="002735DD">
              <w:rPr>
                <w:rFonts w:asciiTheme="minorEastAsia" w:eastAsiaTheme="minorEastAsia" w:hAnsiTheme="minorEastAsia" w:hint="eastAsia"/>
                <w:szCs w:val="21"/>
              </w:rPr>
              <w:t>買入事務経費</w:t>
            </w:r>
          </w:p>
          <w:p w:rsidR="002735DD" w:rsidRPr="002735DD" w:rsidRDefault="00513E83" w:rsidP="002735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Cs w:val="21"/>
              </w:rPr>
            </w:pPr>
            <w:r w:rsidRPr="002735DD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2735DD">
              <w:rPr>
                <w:rFonts w:asciiTheme="minorEastAsia" w:eastAsiaTheme="minorEastAsia" w:hAnsiTheme="minorEastAsia" w:hint="eastAsia"/>
                <w:szCs w:val="21"/>
              </w:rPr>
              <w:t>万円</w:t>
            </w:r>
          </w:p>
        </w:tc>
      </w:tr>
    </w:tbl>
    <w:p w:rsidR="00D44FED" w:rsidRPr="00737877" w:rsidRDefault="00513E83" w:rsidP="00332AA5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737877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875795" w:rsidRPr="00737877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737877">
        <w:rPr>
          <w:rFonts w:asciiTheme="minorEastAsia" w:eastAsiaTheme="minorEastAsia" w:hAnsiTheme="minorEastAsia" w:hint="eastAsia"/>
          <w:sz w:val="22"/>
          <w:szCs w:val="22"/>
        </w:rPr>
        <w:t>）売る方・買う方への注意点</w:t>
      </w:r>
    </w:p>
    <w:p w:rsidR="00D44FED" w:rsidRPr="00737877" w:rsidRDefault="00513E83" w:rsidP="00335C5D">
      <w:pPr>
        <w:ind w:leftChars="300" w:left="63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37877">
        <w:rPr>
          <w:rFonts w:asciiTheme="minorEastAsia" w:eastAsiaTheme="minorEastAsia" w:hAnsiTheme="minorEastAsia" w:hint="eastAsia"/>
          <w:sz w:val="22"/>
          <w:szCs w:val="22"/>
        </w:rPr>
        <w:t>当公社が</w:t>
      </w:r>
      <w:r w:rsidR="00335C5D" w:rsidRPr="00737877">
        <w:rPr>
          <w:rFonts w:asciiTheme="minorEastAsia" w:eastAsiaTheme="minorEastAsia" w:hAnsiTheme="minorEastAsia" w:hint="eastAsia"/>
          <w:sz w:val="22"/>
          <w:szCs w:val="22"/>
        </w:rPr>
        <w:t>一度</w:t>
      </w:r>
      <w:r w:rsidRPr="00737877">
        <w:rPr>
          <w:rFonts w:asciiTheme="minorEastAsia" w:eastAsiaTheme="minorEastAsia" w:hAnsiTheme="minorEastAsia" w:hint="eastAsia"/>
          <w:sz w:val="22"/>
          <w:szCs w:val="22"/>
        </w:rPr>
        <w:t>農地を買</w:t>
      </w:r>
      <w:r w:rsidR="009D3FBA" w:rsidRPr="00737877">
        <w:rPr>
          <w:rFonts w:asciiTheme="minorEastAsia" w:eastAsiaTheme="minorEastAsia" w:hAnsiTheme="minorEastAsia" w:hint="eastAsia"/>
          <w:sz w:val="22"/>
          <w:szCs w:val="22"/>
        </w:rPr>
        <w:t>い</w:t>
      </w:r>
      <w:r w:rsidRPr="00737877">
        <w:rPr>
          <w:rFonts w:asciiTheme="minorEastAsia" w:eastAsiaTheme="minorEastAsia" w:hAnsiTheme="minorEastAsia" w:hint="eastAsia"/>
          <w:sz w:val="22"/>
          <w:szCs w:val="22"/>
        </w:rPr>
        <w:t>入れてから売り渡すため、農地を売る方と買う方が相対で取引を行う</w:t>
      </w:r>
      <w:r w:rsidR="00335C5D" w:rsidRPr="00737877">
        <w:rPr>
          <w:rFonts w:asciiTheme="minorEastAsia" w:eastAsiaTheme="minorEastAsia" w:hAnsiTheme="minorEastAsia"/>
          <w:sz w:val="22"/>
          <w:szCs w:val="22"/>
        </w:rPr>
        <w:br/>
      </w:r>
      <w:r w:rsidR="007074B3" w:rsidRPr="00737877">
        <w:rPr>
          <w:rFonts w:asciiTheme="minorEastAsia" w:eastAsiaTheme="minorEastAsia" w:hAnsiTheme="minorEastAsia" w:hint="eastAsia"/>
          <w:sz w:val="22"/>
          <w:szCs w:val="22"/>
        </w:rPr>
        <w:t>場合</w:t>
      </w:r>
      <w:r w:rsidR="00335C5D" w:rsidRPr="00737877">
        <w:rPr>
          <w:rFonts w:asciiTheme="minorEastAsia" w:eastAsiaTheme="minorEastAsia" w:hAnsiTheme="minorEastAsia" w:hint="eastAsia"/>
          <w:sz w:val="22"/>
          <w:szCs w:val="22"/>
        </w:rPr>
        <w:t>と</w:t>
      </w:r>
      <w:r w:rsidRPr="00737877">
        <w:rPr>
          <w:rFonts w:asciiTheme="minorEastAsia" w:eastAsiaTheme="minorEastAsia" w:hAnsiTheme="minorEastAsia" w:hint="eastAsia"/>
          <w:sz w:val="22"/>
          <w:szCs w:val="22"/>
        </w:rPr>
        <w:t>比べ、事務処理期間が長くなります。</w:t>
      </w:r>
    </w:p>
    <w:p w:rsidR="00D44FED" w:rsidRPr="00737877" w:rsidRDefault="00513E83" w:rsidP="00332AA5">
      <w:pPr>
        <w:ind w:leftChars="300" w:left="63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37877">
        <w:rPr>
          <w:rFonts w:asciiTheme="minorEastAsia" w:eastAsiaTheme="minorEastAsia" w:hAnsiTheme="minorEastAsia" w:hint="eastAsia"/>
          <w:sz w:val="22"/>
          <w:szCs w:val="22"/>
        </w:rPr>
        <w:t>なお、農地</w:t>
      </w:r>
      <w:r w:rsidR="009D3FBA" w:rsidRPr="00737877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737877">
        <w:rPr>
          <w:rFonts w:asciiTheme="minorEastAsia" w:eastAsiaTheme="minorEastAsia" w:hAnsiTheme="minorEastAsia" w:hint="eastAsia"/>
          <w:sz w:val="22"/>
          <w:szCs w:val="22"/>
        </w:rPr>
        <w:t>買</w:t>
      </w:r>
      <w:r w:rsidR="007F2846" w:rsidRPr="00737877">
        <w:rPr>
          <w:rFonts w:asciiTheme="minorEastAsia" w:eastAsiaTheme="minorEastAsia" w:hAnsiTheme="minorEastAsia" w:hint="eastAsia"/>
          <w:sz w:val="22"/>
          <w:szCs w:val="22"/>
        </w:rPr>
        <w:t>い</w:t>
      </w:r>
      <w:r w:rsidRPr="00737877">
        <w:rPr>
          <w:rFonts w:asciiTheme="minorEastAsia" w:eastAsiaTheme="minorEastAsia" w:hAnsiTheme="minorEastAsia" w:hint="eastAsia"/>
          <w:sz w:val="22"/>
          <w:szCs w:val="22"/>
        </w:rPr>
        <w:t>入れ及び売</w:t>
      </w:r>
      <w:r w:rsidR="007F2846" w:rsidRPr="00737877">
        <w:rPr>
          <w:rFonts w:asciiTheme="minorEastAsia" w:eastAsiaTheme="minorEastAsia" w:hAnsiTheme="minorEastAsia" w:hint="eastAsia"/>
          <w:sz w:val="22"/>
          <w:szCs w:val="22"/>
        </w:rPr>
        <w:t>り</w:t>
      </w:r>
      <w:r w:rsidRPr="00737877">
        <w:rPr>
          <w:rFonts w:asciiTheme="minorEastAsia" w:eastAsiaTheme="minorEastAsia" w:hAnsiTheme="minorEastAsia" w:hint="eastAsia"/>
          <w:sz w:val="22"/>
          <w:szCs w:val="22"/>
        </w:rPr>
        <w:t>渡しには、</w:t>
      </w:r>
      <w:r w:rsidRPr="00737877">
        <w:rPr>
          <w:rFonts w:asciiTheme="minorEastAsia" w:eastAsiaTheme="minorEastAsia" w:hAnsiTheme="minorEastAsia" w:hint="eastAsia"/>
          <w:sz w:val="22"/>
          <w:szCs w:val="22"/>
          <w:u w:val="single"/>
        </w:rPr>
        <w:t>それぞれ３ヶ月程度の期間</w:t>
      </w:r>
      <w:r w:rsidRPr="00737877">
        <w:rPr>
          <w:rFonts w:asciiTheme="minorEastAsia" w:eastAsiaTheme="minorEastAsia" w:hAnsiTheme="minorEastAsia" w:hint="eastAsia"/>
          <w:sz w:val="22"/>
          <w:szCs w:val="22"/>
        </w:rPr>
        <w:t>を要します。</w:t>
      </w:r>
    </w:p>
    <w:p w:rsidR="002744B6" w:rsidRPr="00737877" w:rsidRDefault="00513E83" w:rsidP="00332AA5">
      <w:pPr>
        <w:rPr>
          <w:rFonts w:asciiTheme="minorEastAsia" w:eastAsiaTheme="minorEastAsia" w:hAnsiTheme="minorEastAsia"/>
          <w:sz w:val="22"/>
          <w:szCs w:val="22"/>
        </w:rPr>
      </w:pPr>
      <w:r w:rsidRPr="00737877">
        <w:rPr>
          <w:rFonts w:asciiTheme="minorEastAsia" w:eastAsiaTheme="minorEastAsia" w:hAnsiTheme="minorEastAsia" w:hint="eastAsia"/>
          <w:sz w:val="22"/>
          <w:szCs w:val="22"/>
        </w:rPr>
        <w:t>４　経費</w:t>
      </w:r>
      <w:r w:rsidR="00B34EBC" w:rsidRPr="00737877">
        <w:rPr>
          <w:rFonts w:asciiTheme="minorEastAsia" w:eastAsiaTheme="minorEastAsia" w:hAnsiTheme="minorEastAsia" w:hint="eastAsia"/>
          <w:sz w:val="22"/>
          <w:szCs w:val="22"/>
        </w:rPr>
        <w:t>等</w:t>
      </w:r>
    </w:p>
    <w:p w:rsidR="002744B6" w:rsidRPr="00737877" w:rsidRDefault="00513E83" w:rsidP="00332AA5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737877">
        <w:rPr>
          <w:rFonts w:asciiTheme="minorEastAsia" w:eastAsiaTheme="minorEastAsia" w:hAnsiTheme="minorEastAsia" w:hint="eastAsia"/>
          <w:sz w:val="22"/>
          <w:szCs w:val="22"/>
        </w:rPr>
        <w:t>（１）農地を売る方に掛かる経費</w:t>
      </w:r>
    </w:p>
    <w:p w:rsidR="002744B6" w:rsidRPr="00737877" w:rsidRDefault="00513E83" w:rsidP="00332AA5">
      <w:pPr>
        <w:ind w:leftChars="300" w:left="63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737877">
        <w:rPr>
          <w:rFonts w:asciiTheme="minorEastAsia" w:eastAsiaTheme="minorEastAsia" w:hAnsiTheme="minorEastAsia" w:hint="eastAsia"/>
          <w:sz w:val="22"/>
          <w:szCs w:val="22"/>
        </w:rPr>
        <w:t>①</w:t>
      </w:r>
      <w:r w:rsidRPr="00737877">
        <w:rPr>
          <w:rFonts w:asciiTheme="minorEastAsia" w:eastAsiaTheme="minorEastAsia" w:hAnsiTheme="minorEastAsia" w:hint="eastAsia"/>
          <w:spacing w:val="18"/>
          <w:kern w:val="0"/>
          <w:sz w:val="22"/>
          <w:szCs w:val="22"/>
          <w:fitText w:val="3300" w:id="-2043906559"/>
        </w:rPr>
        <w:t>買</w:t>
      </w:r>
      <w:r w:rsidR="00D92BC8" w:rsidRPr="00737877">
        <w:rPr>
          <w:rFonts w:asciiTheme="minorEastAsia" w:eastAsiaTheme="minorEastAsia" w:hAnsiTheme="minorEastAsia" w:hint="eastAsia"/>
          <w:spacing w:val="18"/>
          <w:kern w:val="0"/>
          <w:sz w:val="22"/>
          <w:szCs w:val="22"/>
          <w:fitText w:val="3300" w:id="-2043906559"/>
        </w:rPr>
        <w:t>う方</w:t>
      </w:r>
      <w:r w:rsidRPr="00737877">
        <w:rPr>
          <w:rFonts w:asciiTheme="minorEastAsia" w:eastAsiaTheme="minorEastAsia" w:hAnsiTheme="minorEastAsia" w:hint="eastAsia"/>
          <w:spacing w:val="18"/>
          <w:kern w:val="0"/>
          <w:sz w:val="22"/>
          <w:szCs w:val="22"/>
          <w:fitText w:val="3300" w:id="-2043906559"/>
        </w:rPr>
        <w:t>が</w:t>
      </w:r>
      <w:r w:rsidRPr="00737877">
        <w:rPr>
          <w:rFonts w:asciiTheme="minorEastAsia" w:eastAsiaTheme="minorEastAsia" w:hAnsiTheme="minorEastAsia" w:hint="eastAsia"/>
          <w:spacing w:val="18"/>
          <w:kern w:val="0"/>
          <w:sz w:val="22"/>
          <w:szCs w:val="22"/>
          <w:u w:val="single"/>
          <w:fitText w:val="3300" w:id="-2043906559"/>
        </w:rPr>
        <w:t>認定農業者</w:t>
      </w:r>
      <w:r w:rsidRPr="00737877">
        <w:rPr>
          <w:rFonts w:asciiTheme="minorEastAsia" w:eastAsiaTheme="minorEastAsia" w:hAnsiTheme="minorEastAsia" w:hint="eastAsia"/>
          <w:spacing w:val="18"/>
          <w:kern w:val="0"/>
          <w:sz w:val="22"/>
          <w:szCs w:val="22"/>
          <w:fitText w:val="3300" w:id="-2043906559"/>
        </w:rPr>
        <w:t>の場合</w:t>
      </w:r>
      <w:r w:rsidRPr="00737877">
        <w:rPr>
          <w:rFonts w:asciiTheme="minorEastAsia" w:eastAsiaTheme="minorEastAsia" w:hAnsiTheme="minorEastAsia" w:hint="eastAsia"/>
          <w:spacing w:val="4"/>
          <w:kern w:val="0"/>
          <w:sz w:val="22"/>
          <w:szCs w:val="22"/>
          <w:fitText w:val="3300" w:id="-2043906559"/>
        </w:rPr>
        <w:t>：</w:t>
      </w:r>
      <w:r w:rsidRPr="00737877">
        <w:rPr>
          <w:rFonts w:asciiTheme="minorEastAsia" w:eastAsiaTheme="minorEastAsia" w:hAnsiTheme="minorEastAsia" w:hint="eastAsia"/>
          <w:sz w:val="22"/>
          <w:szCs w:val="22"/>
        </w:rPr>
        <w:t>２５０万円未満の取引</w:t>
      </w:r>
      <w:r w:rsidR="00D44FED" w:rsidRPr="0073787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737877">
        <w:rPr>
          <w:rFonts w:asciiTheme="minorEastAsia" w:eastAsiaTheme="minorEastAsia" w:hAnsiTheme="minorEastAsia" w:hint="eastAsia"/>
          <w:sz w:val="22"/>
          <w:szCs w:val="22"/>
          <w:u w:val="single"/>
        </w:rPr>
        <w:t>５万円</w:t>
      </w:r>
    </w:p>
    <w:p w:rsidR="002744B6" w:rsidRPr="00737877" w:rsidRDefault="00513E83" w:rsidP="00332AA5">
      <w:pPr>
        <w:ind w:leftChars="300" w:left="630" w:firstLineChars="1600" w:firstLine="3520"/>
        <w:rPr>
          <w:rFonts w:asciiTheme="minorEastAsia" w:eastAsiaTheme="minorEastAsia" w:hAnsiTheme="minorEastAsia"/>
          <w:sz w:val="22"/>
          <w:szCs w:val="22"/>
        </w:rPr>
      </w:pPr>
      <w:r w:rsidRPr="00737877">
        <w:rPr>
          <w:rFonts w:asciiTheme="minorEastAsia" w:eastAsiaTheme="minorEastAsia" w:hAnsiTheme="minorEastAsia" w:hint="eastAsia"/>
          <w:sz w:val="22"/>
          <w:szCs w:val="22"/>
        </w:rPr>
        <w:t>２５０万円以上の</w:t>
      </w:r>
      <w:r w:rsidR="00D44FED" w:rsidRPr="00737877">
        <w:rPr>
          <w:rFonts w:asciiTheme="minorEastAsia" w:eastAsiaTheme="minorEastAsia" w:hAnsiTheme="minorEastAsia" w:hint="eastAsia"/>
          <w:sz w:val="22"/>
          <w:szCs w:val="22"/>
        </w:rPr>
        <w:t xml:space="preserve">取引　</w:t>
      </w:r>
      <w:r w:rsidRPr="00737877">
        <w:rPr>
          <w:rFonts w:asciiTheme="minorEastAsia" w:eastAsiaTheme="minorEastAsia" w:hAnsiTheme="minorEastAsia" w:hint="eastAsia"/>
          <w:sz w:val="22"/>
          <w:szCs w:val="22"/>
        </w:rPr>
        <w:t>売買契約金額の２％</w:t>
      </w:r>
    </w:p>
    <w:p w:rsidR="00095940" w:rsidRPr="00737877" w:rsidRDefault="00095940" w:rsidP="00332AA5">
      <w:pPr>
        <w:ind w:leftChars="300" w:left="630" w:firstLineChars="1600" w:firstLine="3520"/>
        <w:rPr>
          <w:rFonts w:asciiTheme="minorEastAsia" w:eastAsiaTheme="minorEastAsia" w:hAnsiTheme="minorEastAsia"/>
          <w:sz w:val="22"/>
          <w:szCs w:val="22"/>
        </w:rPr>
      </w:pPr>
    </w:p>
    <w:p w:rsidR="002744B6" w:rsidRPr="00737877" w:rsidRDefault="00513E83" w:rsidP="00332AA5">
      <w:pPr>
        <w:ind w:leftChars="300" w:left="630"/>
        <w:rPr>
          <w:rFonts w:asciiTheme="minorEastAsia" w:eastAsiaTheme="minorEastAsia" w:hAnsiTheme="minorEastAsia"/>
          <w:sz w:val="22"/>
          <w:szCs w:val="22"/>
        </w:rPr>
      </w:pPr>
      <w:r w:rsidRPr="00737877">
        <w:rPr>
          <w:rFonts w:asciiTheme="minorEastAsia" w:eastAsiaTheme="minorEastAsia" w:hAnsiTheme="minorEastAsia" w:hint="eastAsia"/>
          <w:sz w:val="22"/>
          <w:szCs w:val="22"/>
        </w:rPr>
        <w:t>②</w:t>
      </w:r>
      <w:r w:rsidR="00D92BC8" w:rsidRPr="00737877">
        <w:rPr>
          <w:rFonts w:asciiTheme="minorEastAsia" w:eastAsiaTheme="minorEastAsia" w:hAnsiTheme="minorEastAsia" w:hint="eastAsia"/>
          <w:sz w:val="22"/>
          <w:szCs w:val="22"/>
        </w:rPr>
        <w:t>買う方</w:t>
      </w:r>
      <w:r w:rsidRPr="00737877">
        <w:rPr>
          <w:rFonts w:asciiTheme="minorEastAsia" w:eastAsiaTheme="minorEastAsia" w:hAnsiTheme="minorEastAsia" w:hint="eastAsia"/>
          <w:kern w:val="0"/>
          <w:sz w:val="22"/>
          <w:szCs w:val="22"/>
        </w:rPr>
        <w:t>が認定農業者以外の場合：</w:t>
      </w:r>
      <w:r w:rsidRPr="00737877">
        <w:rPr>
          <w:rFonts w:asciiTheme="minorEastAsia" w:eastAsiaTheme="minorEastAsia" w:hAnsiTheme="minorEastAsia" w:hint="eastAsia"/>
          <w:sz w:val="22"/>
          <w:szCs w:val="22"/>
        </w:rPr>
        <w:t xml:space="preserve">３００万円未満の取引　</w:t>
      </w:r>
      <w:r w:rsidRPr="00737877">
        <w:rPr>
          <w:rFonts w:asciiTheme="minorEastAsia" w:eastAsiaTheme="minorEastAsia" w:hAnsiTheme="minorEastAsia" w:hint="eastAsia"/>
          <w:sz w:val="22"/>
          <w:szCs w:val="22"/>
          <w:u w:val="single"/>
        </w:rPr>
        <w:t>９万円</w:t>
      </w:r>
    </w:p>
    <w:p w:rsidR="002744B6" w:rsidRPr="00737877" w:rsidRDefault="00513E83" w:rsidP="00332AA5">
      <w:pPr>
        <w:ind w:leftChars="300" w:left="630" w:firstLineChars="1600" w:firstLine="3520"/>
        <w:rPr>
          <w:rFonts w:asciiTheme="minorEastAsia" w:eastAsiaTheme="minorEastAsia" w:hAnsiTheme="minorEastAsia"/>
          <w:sz w:val="22"/>
          <w:szCs w:val="22"/>
        </w:rPr>
      </w:pPr>
      <w:r w:rsidRPr="00737877">
        <w:rPr>
          <w:rFonts w:asciiTheme="minorEastAsia" w:eastAsiaTheme="minorEastAsia" w:hAnsiTheme="minorEastAsia" w:hint="eastAsia"/>
          <w:sz w:val="22"/>
          <w:szCs w:val="22"/>
        </w:rPr>
        <w:t>３００万円以上の</w:t>
      </w:r>
      <w:r w:rsidR="00D44FED" w:rsidRPr="00737877">
        <w:rPr>
          <w:rFonts w:asciiTheme="minorEastAsia" w:eastAsiaTheme="minorEastAsia" w:hAnsiTheme="minorEastAsia" w:hint="eastAsia"/>
          <w:sz w:val="22"/>
          <w:szCs w:val="22"/>
        </w:rPr>
        <w:t>取引　売買契約金額の３％</w:t>
      </w:r>
    </w:p>
    <w:p w:rsidR="002744B6" w:rsidRPr="00737877" w:rsidRDefault="00513E83" w:rsidP="00332AA5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737877">
        <w:rPr>
          <w:rFonts w:asciiTheme="minorEastAsia" w:eastAsiaTheme="minorEastAsia" w:hAnsiTheme="minorEastAsia" w:hint="eastAsia"/>
          <w:sz w:val="22"/>
          <w:szCs w:val="22"/>
        </w:rPr>
        <w:t>（２）公社からの売り渡し価格</w:t>
      </w:r>
    </w:p>
    <w:p w:rsidR="00195148" w:rsidRDefault="00513E83" w:rsidP="00702B23">
      <w:pPr>
        <w:ind w:leftChars="400" w:left="840"/>
        <w:rPr>
          <w:rFonts w:asciiTheme="minorEastAsia" w:eastAsiaTheme="minorEastAsia" w:hAnsiTheme="minorEastAsia"/>
          <w:sz w:val="22"/>
          <w:szCs w:val="22"/>
        </w:rPr>
      </w:pPr>
      <w:r w:rsidRPr="00737877">
        <w:rPr>
          <w:rFonts w:asciiTheme="minorEastAsia" w:eastAsiaTheme="minorEastAsia" w:hAnsiTheme="minorEastAsia" w:hint="eastAsia"/>
          <w:sz w:val="22"/>
          <w:szCs w:val="22"/>
        </w:rPr>
        <w:t>公社買入価格</w:t>
      </w:r>
      <w:r w:rsidR="00B34EBC" w:rsidRPr="00737877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EE301E" w:rsidRPr="00737877">
        <w:rPr>
          <w:rFonts w:asciiTheme="minorEastAsia" w:eastAsiaTheme="minorEastAsia" w:hAnsiTheme="minorEastAsia" w:hint="eastAsia"/>
          <w:sz w:val="22"/>
          <w:szCs w:val="22"/>
          <w:u w:val="single"/>
        </w:rPr>
        <w:t>売渡</w:t>
      </w:r>
      <w:r w:rsidR="00585D0E" w:rsidRPr="00737877">
        <w:rPr>
          <w:rFonts w:asciiTheme="minorEastAsia" w:eastAsiaTheme="minorEastAsia" w:hAnsiTheme="minorEastAsia" w:hint="eastAsia"/>
          <w:sz w:val="22"/>
          <w:szCs w:val="22"/>
          <w:u w:val="single"/>
        </w:rPr>
        <w:t>事務経費</w:t>
      </w:r>
      <w:r w:rsidR="008004D6" w:rsidRPr="00737877">
        <w:rPr>
          <w:rFonts w:asciiTheme="minorEastAsia" w:eastAsiaTheme="minorEastAsia" w:hAnsiTheme="minorEastAsia" w:hint="eastAsia"/>
          <w:sz w:val="22"/>
          <w:szCs w:val="22"/>
          <w:u w:val="single"/>
        </w:rPr>
        <w:t>を加算した額</w:t>
      </w:r>
      <w:r w:rsidR="00B34EBC" w:rsidRPr="00737877">
        <w:rPr>
          <w:rFonts w:asciiTheme="minorEastAsia" w:eastAsiaTheme="minorEastAsia" w:hAnsiTheme="minorEastAsia" w:hint="eastAsia"/>
          <w:sz w:val="22"/>
          <w:szCs w:val="22"/>
        </w:rPr>
        <w:t>が売り渡し価格となります。</w:t>
      </w:r>
      <w:r w:rsidR="009C7E6E" w:rsidRPr="00737877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BC6B1E" w:rsidRPr="00737877">
        <w:rPr>
          <w:rFonts w:asciiTheme="minorEastAsia" w:eastAsiaTheme="minorEastAsia" w:hAnsiTheme="minorEastAsia" w:hint="eastAsia"/>
          <w:sz w:val="22"/>
          <w:szCs w:val="22"/>
        </w:rPr>
        <w:t>別途</w:t>
      </w:r>
      <w:r w:rsidR="009C7E6E" w:rsidRPr="00737877">
        <w:rPr>
          <w:rFonts w:asciiTheme="minorEastAsia" w:eastAsiaTheme="minorEastAsia" w:hAnsiTheme="minorEastAsia" w:hint="eastAsia"/>
          <w:sz w:val="22"/>
          <w:szCs w:val="22"/>
        </w:rPr>
        <w:t>登記費用）</w:t>
      </w:r>
    </w:p>
    <w:sectPr w:rsidR="00195148" w:rsidSect="006009B1">
      <w:headerReference w:type="default" r:id="rId8"/>
      <w:footerReference w:type="default" r:id="rId9"/>
      <w:pgSz w:w="11906" w:h="16838"/>
      <w:pgMar w:top="851" w:right="851" w:bottom="851" w:left="851" w:header="454" w:footer="567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E83" w:rsidRDefault="00513E83">
      <w:r>
        <w:separator/>
      </w:r>
    </w:p>
  </w:endnote>
  <w:endnote w:type="continuationSeparator" w:id="0">
    <w:p w:rsidR="00513E83" w:rsidRDefault="0051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388" w:rsidRPr="00F37388" w:rsidRDefault="00F37388" w:rsidP="00F373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E83" w:rsidRDefault="00513E83">
      <w:r>
        <w:separator/>
      </w:r>
    </w:p>
  </w:footnote>
  <w:footnote w:type="continuationSeparator" w:id="0">
    <w:p w:rsidR="00513E83" w:rsidRDefault="00513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148" w:rsidRPr="00195148" w:rsidRDefault="00195148" w:rsidP="00195148">
    <w:pPr>
      <w:spacing w:line="276" w:lineRule="auto"/>
      <w:jc w:val="right"/>
      <w:rPr>
        <w:rFonts w:asciiTheme="minorEastAsia" w:eastAsiaTheme="minorEastAsia" w:hAnsiTheme="minorEastAsi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5C64"/>
    <w:multiLevelType w:val="hybridMultilevel"/>
    <w:tmpl w:val="8ADE0442"/>
    <w:lvl w:ilvl="0" w:tplc="E8883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4C487A4" w:tentative="1">
      <w:start w:val="1"/>
      <w:numFmt w:val="aiueoFullWidth"/>
      <w:lvlText w:val="(%2)"/>
      <w:lvlJc w:val="left"/>
      <w:pPr>
        <w:ind w:left="840" w:hanging="420"/>
      </w:pPr>
    </w:lvl>
    <w:lvl w:ilvl="2" w:tplc="364676F6" w:tentative="1">
      <w:start w:val="1"/>
      <w:numFmt w:val="decimalEnclosedCircle"/>
      <w:lvlText w:val="%3"/>
      <w:lvlJc w:val="left"/>
      <w:pPr>
        <w:ind w:left="1260" w:hanging="420"/>
      </w:pPr>
    </w:lvl>
    <w:lvl w:ilvl="3" w:tplc="48B819B8" w:tentative="1">
      <w:start w:val="1"/>
      <w:numFmt w:val="decimal"/>
      <w:lvlText w:val="%4."/>
      <w:lvlJc w:val="left"/>
      <w:pPr>
        <w:ind w:left="1680" w:hanging="420"/>
      </w:pPr>
    </w:lvl>
    <w:lvl w:ilvl="4" w:tplc="2CF4FB94" w:tentative="1">
      <w:start w:val="1"/>
      <w:numFmt w:val="aiueoFullWidth"/>
      <w:lvlText w:val="(%5)"/>
      <w:lvlJc w:val="left"/>
      <w:pPr>
        <w:ind w:left="2100" w:hanging="420"/>
      </w:pPr>
    </w:lvl>
    <w:lvl w:ilvl="5" w:tplc="F9F00646" w:tentative="1">
      <w:start w:val="1"/>
      <w:numFmt w:val="decimalEnclosedCircle"/>
      <w:lvlText w:val="%6"/>
      <w:lvlJc w:val="left"/>
      <w:pPr>
        <w:ind w:left="2520" w:hanging="420"/>
      </w:pPr>
    </w:lvl>
    <w:lvl w:ilvl="6" w:tplc="E5F468F0" w:tentative="1">
      <w:start w:val="1"/>
      <w:numFmt w:val="decimal"/>
      <w:lvlText w:val="%7."/>
      <w:lvlJc w:val="left"/>
      <w:pPr>
        <w:ind w:left="2940" w:hanging="420"/>
      </w:pPr>
    </w:lvl>
    <w:lvl w:ilvl="7" w:tplc="3A925520" w:tentative="1">
      <w:start w:val="1"/>
      <w:numFmt w:val="aiueoFullWidth"/>
      <w:lvlText w:val="(%8)"/>
      <w:lvlJc w:val="left"/>
      <w:pPr>
        <w:ind w:left="3360" w:hanging="420"/>
      </w:pPr>
    </w:lvl>
    <w:lvl w:ilvl="8" w:tplc="08D8CB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460D7A"/>
    <w:multiLevelType w:val="hybridMultilevel"/>
    <w:tmpl w:val="9ADC96A6"/>
    <w:lvl w:ilvl="0" w:tplc="56C66A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75A024C" w:tentative="1">
      <w:start w:val="1"/>
      <w:numFmt w:val="aiueoFullWidth"/>
      <w:lvlText w:val="(%2)"/>
      <w:lvlJc w:val="left"/>
      <w:pPr>
        <w:ind w:left="840" w:hanging="420"/>
      </w:pPr>
    </w:lvl>
    <w:lvl w:ilvl="2" w:tplc="8594E7AC" w:tentative="1">
      <w:start w:val="1"/>
      <w:numFmt w:val="decimalEnclosedCircle"/>
      <w:lvlText w:val="%3"/>
      <w:lvlJc w:val="left"/>
      <w:pPr>
        <w:ind w:left="1260" w:hanging="420"/>
      </w:pPr>
    </w:lvl>
    <w:lvl w:ilvl="3" w:tplc="2FD6A84E" w:tentative="1">
      <w:start w:val="1"/>
      <w:numFmt w:val="decimal"/>
      <w:lvlText w:val="%4."/>
      <w:lvlJc w:val="left"/>
      <w:pPr>
        <w:ind w:left="1680" w:hanging="420"/>
      </w:pPr>
    </w:lvl>
    <w:lvl w:ilvl="4" w:tplc="3A7AC2F4" w:tentative="1">
      <w:start w:val="1"/>
      <w:numFmt w:val="aiueoFullWidth"/>
      <w:lvlText w:val="(%5)"/>
      <w:lvlJc w:val="left"/>
      <w:pPr>
        <w:ind w:left="2100" w:hanging="420"/>
      </w:pPr>
    </w:lvl>
    <w:lvl w:ilvl="5" w:tplc="8C96D316" w:tentative="1">
      <w:start w:val="1"/>
      <w:numFmt w:val="decimalEnclosedCircle"/>
      <w:lvlText w:val="%6"/>
      <w:lvlJc w:val="left"/>
      <w:pPr>
        <w:ind w:left="2520" w:hanging="420"/>
      </w:pPr>
    </w:lvl>
    <w:lvl w:ilvl="6" w:tplc="9786706A" w:tentative="1">
      <w:start w:val="1"/>
      <w:numFmt w:val="decimal"/>
      <w:lvlText w:val="%7."/>
      <w:lvlJc w:val="left"/>
      <w:pPr>
        <w:ind w:left="2940" w:hanging="420"/>
      </w:pPr>
    </w:lvl>
    <w:lvl w:ilvl="7" w:tplc="1E284162" w:tentative="1">
      <w:start w:val="1"/>
      <w:numFmt w:val="aiueoFullWidth"/>
      <w:lvlText w:val="(%8)"/>
      <w:lvlJc w:val="left"/>
      <w:pPr>
        <w:ind w:left="3360" w:hanging="420"/>
      </w:pPr>
    </w:lvl>
    <w:lvl w:ilvl="8" w:tplc="CCEAB05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A5"/>
    <w:rsid w:val="00022233"/>
    <w:rsid w:val="00031D09"/>
    <w:rsid w:val="00032D6D"/>
    <w:rsid w:val="00090CCA"/>
    <w:rsid w:val="00094A3D"/>
    <w:rsid w:val="00095940"/>
    <w:rsid w:val="000A35EF"/>
    <w:rsid w:val="000A52C4"/>
    <w:rsid w:val="000C541A"/>
    <w:rsid w:val="000E151E"/>
    <w:rsid w:val="00104CFE"/>
    <w:rsid w:val="001056C9"/>
    <w:rsid w:val="00114734"/>
    <w:rsid w:val="00121990"/>
    <w:rsid w:val="00125122"/>
    <w:rsid w:val="00130BF6"/>
    <w:rsid w:val="00152AD6"/>
    <w:rsid w:val="00152ED5"/>
    <w:rsid w:val="00162172"/>
    <w:rsid w:val="00164304"/>
    <w:rsid w:val="001677B7"/>
    <w:rsid w:val="00195148"/>
    <w:rsid w:val="001A6E7E"/>
    <w:rsid w:val="001B37D5"/>
    <w:rsid w:val="001B4709"/>
    <w:rsid w:val="001C5531"/>
    <w:rsid w:val="001C5C4C"/>
    <w:rsid w:val="001E5753"/>
    <w:rsid w:val="001E7523"/>
    <w:rsid w:val="00205228"/>
    <w:rsid w:val="0025723B"/>
    <w:rsid w:val="002735DD"/>
    <w:rsid w:val="002744B6"/>
    <w:rsid w:val="002C7EF8"/>
    <w:rsid w:val="00304D22"/>
    <w:rsid w:val="00332AA5"/>
    <w:rsid w:val="00335C5D"/>
    <w:rsid w:val="00337083"/>
    <w:rsid w:val="00351A36"/>
    <w:rsid w:val="00353537"/>
    <w:rsid w:val="0037250F"/>
    <w:rsid w:val="00374A18"/>
    <w:rsid w:val="00383EAE"/>
    <w:rsid w:val="00386B5E"/>
    <w:rsid w:val="003A1B1F"/>
    <w:rsid w:val="003B6480"/>
    <w:rsid w:val="003D2659"/>
    <w:rsid w:val="003D4486"/>
    <w:rsid w:val="00402B84"/>
    <w:rsid w:val="004149CE"/>
    <w:rsid w:val="004210BD"/>
    <w:rsid w:val="004451F0"/>
    <w:rsid w:val="004457A5"/>
    <w:rsid w:val="004646CF"/>
    <w:rsid w:val="0047326E"/>
    <w:rsid w:val="004816C8"/>
    <w:rsid w:val="004A7FB3"/>
    <w:rsid w:val="004B67C4"/>
    <w:rsid w:val="004C4E22"/>
    <w:rsid w:val="004D0676"/>
    <w:rsid w:val="004E1A8C"/>
    <w:rsid w:val="004E5E69"/>
    <w:rsid w:val="00513E83"/>
    <w:rsid w:val="00530E5C"/>
    <w:rsid w:val="00544893"/>
    <w:rsid w:val="00545479"/>
    <w:rsid w:val="00547BD4"/>
    <w:rsid w:val="0055573E"/>
    <w:rsid w:val="00564BE8"/>
    <w:rsid w:val="005816CF"/>
    <w:rsid w:val="0058259C"/>
    <w:rsid w:val="00585D0E"/>
    <w:rsid w:val="005A31FF"/>
    <w:rsid w:val="006009B1"/>
    <w:rsid w:val="00603B6F"/>
    <w:rsid w:val="006314EF"/>
    <w:rsid w:val="00646472"/>
    <w:rsid w:val="00672594"/>
    <w:rsid w:val="00677FCB"/>
    <w:rsid w:val="006873D0"/>
    <w:rsid w:val="006A1813"/>
    <w:rsid w:val="006D31F1"/>
    <w:rsid w:val="006D3A33"/>
    <w:rsid w:val="006E0CB8"/>
    <w:rsid w:val="006F2595"/>
    <w:rsid w:val="00702B23"/>
    <w:rsid w:val="007074B3"/>
    <w:rsid w:val="00714A1E"/>
    <w:rsid w:val="007224D4"/>
    <w:rsid w:val="00722E36"/>
    <w:rsid w:val="00737877"/>
    <w:rsid w:val="0075500A"/>
    <w:rsid w:val="007673F3"/>
    <w:rsid w:val="007727B4"/>
    <w:rsid w:val="00784993"/>
    <w:rsid w:val="00790430"/>
    <w:rsid w:val="00795E3B"/>
    <w:rsid w:val="007B07C2"/>
    <w:rsid w:val="007D4C3F"/>
    <w:rsid w:val="007F2846"/>
    <w:rsid w:val="007F7BE6"/>
    <w:rsid w:val="008004D6"/>
    <w:rsid w:val="0082322E"/>
    <w:rsid w:val="00826251"/>
    <w:rsid w:val="00863672"/>
    <w:rsid w:val="00864AC1"/>
    <w:rsid w:val="00875795"/>
    <w:rsid w:val="00883AFA"/>
    <w:rsid w:val="00885A6B"/>
    <w:rsid w:val="008D3186"/>
    <w:rsid w:val="00903F70"/>
    <w:rsid w:val="00907972"/>
    <w:rsid w:val="00922E7A"/>
    <w:rsid w:val="00935600"/>
    <w:rsid w:val="009622A5"/>
    <w:rsid w:val="0098739B"/>
    <w:rsid w:val="00993A4D"/>
    <w:rsid w:val="009A0CE3"/>
    <w:rsid w:val="009A4CAD"/>
    <w:rsid w:val="009C7E6E"/>
    <w:rsid w:val="009C7FB1"/>
    <w:rsid w:val="009D341B"/>
    <w:rsid w:val="009D3FBA"/>
    <w:rsid w:val="009E1A57"/>
    <w:rsid w:val="009F2DEA"/>
    <w:rsid w:val="009F3686"/>
    <w:rsid w:val="009F41ED"/>
    <w:rsid w:val="00A06AE2"/>
    <w:rsid w:val="00A11207"/>
    <w:rsid w:val="00A60369"/>
    <w:rsid w:val="00A70EB8"/>
    <w:rsid w:val="00B16B7B"/>
    <w:rsid w:val="00B17CE0"/>
    <w:rsid w:val="00B34EBC"/>
    <w:rsid w:val="00B40918"/>
    <w:rsid w:val="00B54924"/>
    <w:rsid w:val="00BA5F84"/>
    <w:rsid w:val="00BC6B1E"/>
    <w:rsid w:val="00BD7025"/>
    <w:rsid w:val="00BE173F"/>
    <w:rsid w:val="00BF37ED"/>
    <w:rsid w:val="00BF6722"/>
    <w:rsid w:val="00C409CF"/>
    <w:rsid w:val="00C43D84"/>
    <w:rsid w:val="00CA45DB"/>
    <w:rsid w:val="00CC14CF"/>
    <w:rsid w:val="00CD2C17"/>
    <w:rsid w:val="00CD66FE"/>
    <w:rsid w:val="00CE7C3F"/>
    <w:rsid w:val="00CF0514"/>
    <w:rsid w:val="00D00BE6"/>
    <w:rsid w:val="00D2026B"/>
    <w:rsid w:val="00D20C44"/>
    <w:rsid w:val="00D23961"/>
    <w:rsid w:val="00D44FED"/>
    <w:rsid w:val="00D4685A"/>
    <w:rsid w:val="00D92BC8"/>
    <w:rsid w:val="00DA0CB6"/>
    <w:rsid w:val="00DB2718"/>
    <w:rsid w:val="00DD0D6A"/>
    <w:rsid w:val="00E07FF9"/>
    <w:rsid w:val="00E220F4"/>
    <w:rsid w:val="00E43908"/>
    <w:rsid w:val="00E8504B"/>
    <w:rsid w:val="00E86873"/>
    <w:rsid w:val="00EE1BA5"/>
    <w:rsid w:val="00EE301E"/>
    <w:rsid w:val="00EF79C8"/>
    <w:rsid w:val="00F279E0"/>
    <w:rsid w:val="00F37388"/>
    <w:rsid w:val="00F62787"/>
    <w:rsid w:val="00F93901"/>
    <w:rsid w:val="00FC6B81"/>
    <w:rsid w:val="00FE5B67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5323341-1D74-4411-B3B5-D50ADC0C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B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67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6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67C4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B67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67C4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9E1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6D3A3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4">
    <w:name w:val="Medium Shading 1 Accent 5"/>
    <w:basedOn w:val="a1"/>
    <w:uiPriority w:val="63"/>
    <w:rsid w:val="006D3A3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0">
    <w:name w:val="Medium Grid 3 Accent 5"/>
    <w:basedOn w:val="a1"/>
    <w:uiPriority w:val="69"/>
    <w:rsid w:val="006D3A3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0">
    <w:name w:val="Medium Grid 3 Accent 2"/>
    <w:basedOn w:val="a1"/>
    <w:uiPriority w:val="69"/>
    <w:rsid w:val="006D3A3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aa">
    <w:name w:val="List Paragraph"/>
    <w:basedOn w:val="a"/>
    <w:uiPriority w:val="34"/>
    <w:qFormat/>
    <w:rsid w:val="009A0C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DF3DA-313D-4EB3-8D1F-B75D37E5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hashimoto.tomoya</dc:creator>
  <cp:lastModifiedBy> </cp:lastModifiedBy>
  <cp:revision>2</cp:revision>
  <cp:lastPrinted>2021-04-16T00:21:00Z</cp:lastPrinted>
  <dcterms:created xsi:type="dcterms:W3CDTF">2022-06-07T07:48:00Z</dcterms:created>
  <dcterms:modified xsi:type="dcterms:W3CDTF">2022-06-07T07:48:00Z</dcterms:modified>
</cp:coreProperties>
</file>